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17" w:rsidRPr="002D30F1" w:rsidRDefault="0026702B" w:rsidP="00293217">
      <w:pPr>
        <w:jc w:val="center"/>
        <w:rPr>
          <w:rFonts w:ascii="Bahnschrift" w:hAnsi="Bahnschrift"/>
          <w:b/>
          <w:color w:val="00206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BDC234" wp14:editId="21CFE782">
            <wp:simplePos x="0" y="0"/>
            <wp:positionH relativeFrom="margin">
              <wp:posOffset>4305935</wp:posOffset>
            </wp:positionH>
            <wp:positionV relativeFrom="margin">
              <wp:posOffset>-48260</wp:posOffset>
            </wp:positionV>
            <wp:extent cx="1205230" cy="1256030"/>
            <wp:effectExtent l="0" t="0" r="0" b="1270"/>
            <wp:wrapSquare wrapText="bothSides"/>
            <wp:docPr id="15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217" w:rsidRPr="002D30F1">
        <w:rPr>
          <w:noProof/>
          <w:color w:val="002060"/>
        </w:rPr>
        <w:drawing>
          <wp:inline distT="0" distB="0" distL="0" distR="0">
            <wp:extent cx="2213517" cy="1191083"/>
            <wp:effectExtent l="0" t="0" r="0" b="9525"/>
            <wp:docPr id="14" name="Image 14" descr="cid:image001.png@01D7E2B5.9071B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E2B5.9071BD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26" cy="119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51" w:rsidRPr="002D30F1" w:rsidRDefault="009B1751" w:rsidP="00293217">
      <w:pPr>
        <w:jc w:val="center"/>
        <w:rPr>
          <w:rFonts w:ascii="Bahnschrift" w:hAnsi="Bahnschrift"/>
          <w:b/>
          <w:color w:val="002060"/>
          <w:sz w:val="32"/>
        </w:rPr>
      </w:pPr>
    </w:p>
    <w:p w:rsidR="00293217" w:rsidRPr="002D30F1" w:rsidRDefault="004324EC" w:rsidP="00293217">
      <w:pPr>
        <w:jc w:val="center"/>
        <w:rPr>
          <w:rFonts w:ascii="Bahnschrift" w:hAnsi="Bahnschrift"/>
          <w:b/>
          <w:color w:val="002060"/>
          <w:sz w:val="32"/>
        </w:rPr>
      </w:pPr>
      <w:r w:rsidRPr="002D30F1">
        <w:rPr>
          <w:rFonts w:ascii="Bahnschrift" w:hAnsi="Bahnschrift"/>
          <w:b/>
          <w:color w:val="002060"/>
          <w:sz w:val="32"/>
        </w:rPr>
        <w:t>LETTRE DE MISSION – VENTE IMMOBILIERE</w:t>
      </w:r>
    </w:p>
    <w:p w:rsidR="00C40C2C" w:rsidRPr="002D30F1" w:rsidRDefault="00C40C2C" w:rsidP="00293217">
      <w:pPr>
        <w:jc w:val="center"/>
        <w:rPr>
          <w:rFonts w:ascii="Bahnschrift" w:hAnsi="Bahnschrift"/>
          <w:b/>
          <w:color w:val="002060"/>
          <w:sz w:val="32"/>
        </w:rPr>
      </w:pPr>
    </w:p>
    <w:p w:rsidR="00C40C2C" w:rsidRPr="002D30F1" w:rsidRDefault="00C40C2C" w:rsidP="00C40C2C">
      <w:pPr>
        <w:jc w:val="center"/>
        <w:rPr>
          <w:rFonts w:ascii="Bahnschrift" w:hAnsi="Bahnschrift"/>
          <w:i/>
          <w:color w:val="002060"/>
        </w:rPr>
      </w:pPr>
      <w:r w:rsidRPr="002D30F1">
        <w:rPr>
          <w:rFonts w:ascii="Bahnschrift" w:hAnsi="Bahnschrift"/>
          <w:i/>
          <w:color w:val="002060"/>
        </w:rPr>
        <w:t xml:space="preserve">Nous proposons ici un modèle pouvant servir de base à la mise </w:t>
      </w:r>
      <w:r w:rsidR="00527364">
        <w:rPr>
          <w:rFonts w:ascii="Bahnschrift" w:hAnsi="Bahnschrift"/>
          <w:i/>
          <w:color w:val="002060"/>
        </w:rPr>
        <w:t xml:space="preserve">au point d’un modèle propre à chaque </w:t>
      </w:r>
      <w:r w:rsidRPr="002D30F1">
        <w:rPr>
          <w:rFonts w:ascii="Bahnschrift" w:hAnsi="Bahnschrift"/>
          <w:i/>
          <w:color w:val="002060"/>
        </w:rPr>
        <w:t>office notarial. Expliquer les contours de notre mission, son coût, et l’étendue de ce que notre intervention va comprendre (ou non) est essentiel à l’existenc</w:t>
      </w:r>
      <w:r w:rsidR="00527364">
        <w:rPr>
          <w:rFonts w:ascii="Bahnschrift" w:hAnsi="Bahnschrift"/>
          <w:i/>
          <w:color w:val="002060"/>
        </w:rPr>
        <w:t>e du climat de confiance</w:t>
      </w:r>
      <w:r w:rsidRPr="002D30F1">
        <w:rPr>
          <w:rFonts w:ascii="Bahnschrift" w:hAnsi="Bahnschrift"/>
          <w:i/>
          <w:color w:val="002060"/>
        </w:rPr>
        <w:t xml:space="preserve"> que doit ressentir un client en début de dossier. Cela permettra à ce dernier de prendre conscience du travail qui est effectué, par son notaire, dans son intérêt, mais aussi de ce qui est attendu de lui afin que l’opération se déroule efficacement.</w:t>
      </w:r>
    </w:p>
    <w:p w:rsidR="00C40C2C" w:rsidRPr="002D30F1" w:rsidRDefault="00C40C2C" w:rsidP="00527364">
      <w:pPr>
        <w:jc w:val="both"/>
        <w:rPr>
          <w:rFonts w:ascii="Bahnschrift" w:hAnsi="Bahnschrift"/>
          <w:i/>
          <w:color w:val="002060"/>
        </w:rPr>
      </w:pPr>
    </w:p>
    <w:p w:rsidR="00C40C2C" w:rsidRPr="002D30F1" w:rsidRDefault="00C40C2C" w:rsidP="00527364">
      <w:p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 xml:space="preserve">Vous avez sollicité notre office notarial pour une opération de </w:t>
      </w:r>
      <w:r w:rsidR="00961DCA">
        <w:rPr>
          <w:rFonts w:cs="Arial"/>
          <w:color w:val="002060"/>
        </w:rPr>
        <w:t>vente d’immeuble</w:t>
      </w:r>
      <w:r w:rsidRPr="002D30F1">
        <w:rPr>
          <w:rFonts w:cs="Arial"/>
          <w:color w:val="002060"/>
        </w:rPr>
        <w:t>.</w:t>
      </w:r>
    </w:p>
    <w:p w:rsidR="00C40C2C" w:rsidRPr="002D30F1" w:rsidRDefault="00C40C2C" w:rsidP="00527364">
      <w:pPr>
        <w:jc w:val="both"/>
        <w:rPr>
          <w:rFonts w:cs="Arial"/>
          <w:color w:val="002060"/>
        </w:rPr>
      </w:pPr>
    </w:p>
    <w:p w:rsidR="00C40C2C" w:rsidRPr="002D30F1" w:rsidRDefault="00C40C2C" w:rsidP="00527364">
      <w:p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Notre intervention comprend des missio</w:t>
      </w:r>
      <w:r w:rsidR="003505FB">
        <w:rPr>
          <w:rFonts w:cs="Arial"/>
          <w:color w:val="002060"/>
        </w:rPr>
        <w:t>ns étendues (I). Mais d’autres sont plus spécifiques, ou se rapporte</w:t>
      </w:r>
      <w:r w:rsidRPr="002D30F1">
        <w:rPr>
          <w:rFonts w:cs="Arial"/>
          <w:color w:val="002060"/>
        </w:rPr>
        <w:t>nt à des conseils, missions annexes et prestations complémentaires (II).</w:t>
      </w:r>
    </w:p>
    <w:p w:rsidR="00C40C2C" w:rsidRPr="002D30F1" w:rsidRDefault="00C40C2C" w:rsidP="00527364">
      <w:pPr>
        <w:jc w:val="both"/>
        <w:rPr>
          <w:rFonts w:cs="Arial"/>
          <w:color w:val="002060"/>
        </w:rPr>
      </w:pPr>
    </w:p>
    <w:p w:rsidR="00C40C2C" w:rsidRPr="002D30F1" w:rsidRDefault="00A76D10" w:rsidP="00527364">
      <w:pPr>
        <w:pStyle w:val="Paragraphedeliste"/>
        <w:numPr>
          <w:ilvl w:val="0"/>
          <w:numId w:val="27"/>
        </w:numPr>
        <w:jc w:val="both"/>
        <w:rPr>
          <w:rFonts w:cs="Arial"/>
          <w:i/>
          <w:color w:val="002060"/>
          <w:sz w:val="24"/>
          <w:szCs w:val="24"/>
          <w:u w:val="single"/>
        </w:rPr>
      </w:pPr>
      <w:r w:rsidRPr="002D30F1">
        <w:rPr>
          <w:rFonts w:cs="Arial"/>
          <w:i/>
          <w:color w:val="002060"/>
          <w:sz w:val="24"/>
          <w:szCs w:val="24"/>
          <w:u w:val="single"/>
        </w:rPr>
        <w:t>Les missions de l’étude en matière de vente immobilière</w:t>
      </w:r>
    </w:p>
    <w:p w:rsidR="005A6111" w:rsidRPr="002D30F1" w:rsidRDefault="005A6111" w:rsidP="00527364">
      <w:pPr>
        <w:jc w:val="both"/>
        <w:rPr>
          <w:rFonts w:cs="Arial"/>
          <w:color w:val="002060"/>
        </w:rPr>
      </w:pPr>
    </w:p>
    <w:p w:rsidR="005A6111" w:rsidRPr="002D30F1" w:rsidRDefault="00961DCA" w:rsidP="00527364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Notre intervention recouvre</w:t>
      </w:r>
      <w:r w:rsidR="005A6111" w:rsidRPr="002D30F1">
        <w:rPr>
          <w:rFonts w:cs="Arial"/>
          <w:color w:val="002060"/>
        </w:rPr>
        <w:t xml:space="preserve"> l’accomplissement de nombreuses missions, dont les principales sont les suivantes :</w:t>
      </w:r>
    </w:p>
    <w:p w:rsidR="005A6111" w:rsidRPr="002D30F1" w:rsidRDefault="005A6111" w:rsidP="00527364">
      <w:pPr>
        <w:jc w:val="both"/>
        <w:rPr>
          <w:rFonts w:cs="Arial"/>
          <w:color w:val="002060"/>
        </w:rPr>
      </w:pPr>
    </w:p>
    <w:p w:rsidR="005A6111" w:rsidRPr="002D30F1" w:rsidRDefault="005A6111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L’obtention auprès des services compétents des documents nécessaires à la rédaction de l’acte de vente et à sa signature (dont ceux aux frais du vendeur : titres de propriété, règlement de copropriété-état descriptif de division et ses modificatifs, documents relatifs à la copropriété,</w:t>
      </w:r>
      <w:r w:rsidR="003505FB">
        <w:rPr>
          <w:rFonts w:cs="Arial"/>
          <w:color w:val="002060"/>
        </w:rPr>
        <w:t xml:space="preserve"> au lotissement, aux autorisations d’urbanisme</w:t>
      </w:r>
      <w:r w:rsidRPr="002D30F1">
        <w:rPr>
          <w:rFonts w:cs="Arial"/>
          <w:color w:val="002060"/>
        </w:rPr>
        <w:t xml:space="preserve"> etc.) ;</w:t>
      </w:r>
    </w:p>
    <w:p w:rsidR="005A6111" w:rsidRPr="002D30F1" w:rsidRDefault="005A6111" w:rsidP="00527364">
      <w:pPr>
        <w:jc w:val="both"/>
        <w:rPr>
          <w:rFonts w:cs="Arial"/>
          <w:color w:val="002060"/>
        </w:rPr>
      </w:pPr>
    </w:p>
    <w:p w:rsidR="005A6111" w:rsidRPr="002D30F1" w:rsidRDefault="005A6111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Les vérifications relatives aux parties et aux biens et droits immobiliers</w:t>
      </w:r>
      <w:r w:rsidR="003505FB">
        <w:rPr>
          <w:rFonts w:cs="Arial"/>
          <w:color w:val="002060"/>
        </w:rPr>
        <w:t> :</w:t>
      </w:r>
    </w:p>
    <w:p w:rsidR="005A6111" w:rsidRPr="002D30F1" w:rsidRDefault="005A6111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La vérification des états-civils des parties, de leur situation familiale, de leur capacité ;</w:t>
      </w:r>
    </w:p>
    <w:p w:rsidR="005A6111" w:rsidRPr="002D30F1" w:rsidRDefault="005A6111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La vérification des pouvoirs ;</w:t>
      </w:r>
    </w:p>
    <w:p w:rsidR="005A6111" w:rsidRDefault="005A6111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L’analyse de l’</w:t>
      </w:r>
      <w:r w:rsidR="00527364" w:rsidRPr="002D30F1">
        <w:rPr>
          <w:rFonts w:cs="Arial"/>
          <w:color w:val="002060"/>
        </w:rPr>
        <w:t>origine</w:t>
      </w:r>
      <w:r w:rsidRPr="002D30F1">
        <w:rPr>
          <w:rFonts w:cs="Arial"/>
          <w:color w:val="002060"/>
        </w:rPr>
        <w:t xml:space="preserve"> de propriété</w:t>
      </w:r>
      <w:r w:rsidR="006D0C4D" w:rsidRPr="002D30F1">
        <w:rPr>
          <w:rFonts w:cs="Arial"/>
          <w:color w:val="002060"/>
        </w:rPr>
        <w:t>, de la situation urbanistique</w:t>
      </w:r>
      <w:r w:rsidRPr="002D30F1">
        <w:rPr>
          <w:rFonts w:cs="Arial"/>
          <w:color w:val="002060"/>
        </w:rPr>
        <w:t xml:space="preserve"> et </w:t>
      </w:r>
      <w:r w:rsidR="006D0C4D" w:rsidRPr="002D30F1">
        <w:rPr>
          <w:rFonts w:cs="Arial"/>
          <w:color w:val="002060"/>
        </w:rPr>
        <w:t>de la situation hypothécaire (</w:t>
      </w:r>
      <w:r w:rsidR="003505FB">
        <w:rPr>
          <w:rFonts w:cs="Arial"/>
          <w:color w:val="002060"/>
        </w:rPr>
        <w:t xml:space="preserve">hypothèques et </w:t>
      </w:r>
      <w:r w:rsidRPr="002D30F1">
        <w:rPr>
          <w:rFonts w:cs="Arial"/>
          <w:color w:val="002060"/>
        </w:rPr>
        <w:t>inscriptions pouvant grever le bien</w:t>
      </w:r>
      <w:r w:rsidR="006D0C4D" w:rsidRPr="002D30F1">
        <w:rPr>
          <w:rFonts w:cs="Arial"/>
          <w:color w:val="002060"/>
        </w:rPr>
        <w:t>)</w:t>
      </w:r>
      <w:r w:rsidRPr="002D30F1">
        <w:rPr>
          <w:rFonts w:cs="Arial"/>
          <w:color w:val="002060"/>
        </w:rPr>
        <w:t> ;</w:t>
      </w:r>
    </w:p>
    <w:p w:rsidR="00656C17" w:rsidRPr="006C1913" w:rsidRDefault="00656C17" w:rsidP="00656C17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La vérification de la complétude et de la validité du dossier de diagnostic te</w:t>
      </w:r>
      <w:r>
        <w:rPr>
          <w:rFonts w:cs="Arial"/>
          <w:color w:val="002060"/>
        </w:rPr>
        <w:t>c</w:t>
      </w:r>
      <w:r>
        <w:rPr>
          <w:rFonts w:cs="Arial"/>
          <w:color w:val="002060"/>
        </w:rPr>
        <w:t>hnique</w:t>
      </w:r>
      <w:r>
        <w:rPr>
          <w:rFonts w:cs="Arial"/>
          <w:color w:val="002060"/>
        </w:rPr>
        <w:t> ;</w:t>
      </w:r>
    </w:p>
    <w:p w:rsidR="005A6111" w:rsidRPr="002D30F1" w:rsidRDefault="00656C17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Et de manière générale l</w:t>
      </w:r>
      <w:r w:rsidR="005A6111" w:rsidRPr="002D30F1">
        <w:rPr>
          <w:rFonts w:cs="Arial"/>
          <w:color w:val="002060"/>
        </w:rPr>
        <w:t>’analyse des documents et pièces nécessaires à la rédaction de l’acte de vente.</w:t>
      </w:r>
    </w:p>
    <w:p w:rsidR="005A6111" w:rsidRPr="002D30F1" w:rsidRDefault="005A6111" w:rsidP="00527364">
      <w:pPr>
        <w:jc w:val="both"/>
        <w:rPr>
          <w:rFonts w:cs="Arial"/>
          <w:color w:val="002060"/>
        </w:rPr>
      </w:pPr>
    </w:p>
    <w:p w:rsidR="006D0C4D" w:rsidRPr="002D30F1" w:rsidRDefault="006D0C4D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 xml:space="preserve">Les conseils inhérents </w:t>
      </w:r>
      <w:r w:rsidR="003505FB">
        <w:rPr>
          <w:rFonts w:cs="Arial"/>
          <w:color w:val="002060"/>
        </w:rPr>
        <w:t>aux actes</w:t>
      </w:r>
      <w:r w:rsidRPr="002D30F1">
        <w:rPr>
          <w:rFonts w:cs="Arial"/>
          <w:color w:val="002060"/>
        </w:rPr>
        <w:t> :</w:t>
      </w:r>
    </w:p>
    <w:p w:rsidR="006D0C4D" w:rsidRPr="002D30F1" w:rsidRDefault="006D0C4D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 xml:space="preserve">Explications sur l’objet et le contenu </w:t>
      </w:r>
      <w:r w:rsidR="003505FB">
        <w:rPr>
          <w:rFonts w:cs="Arial"/>
          <w:color w:val="002060"/>
        </w:rPr>
        <w:t>des actes</w:t>
      </w:r>
      <w:r w:rsidRPr="002D30F1">
        <w:rPr>
          <w:rFonts w:cs="Arial"/>
          <w:color w:val="002060"/>
        </w:rPr>
        <w:t>, les obligations et délais à respecter par les parties</w:t>
      </w:r>
      <w:r w:rsidR="00656C17">
        <w:rPr>
          <w:rFonts w:cs="Arial"/>
          <w:color w:val="002060"/>
        </w:rPr>
        <w:t>, la nature</w:t>
      </w:r>
      <w:r w:rsidRPr="002D30F1">
        <w:rPr>
          <w:rFonts w:cs="Arial"/>
          <w:color w:val="002060"/>
        </w:rPr>
        <w:t xml:space="preserve"> et la portée de leurs engagements ;</w:t>
      </w:r>
    </w:p>
    <w:p w:rsidR="006D0C4D" w:rsidRPr="002D30F1" w:rsidRDefault="006D0C4D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L’analyse des contours de l’opération, de sa faisabilité ou des difficultés pouvant se présenter ;</w:t>
      </w:r>
    </w:p>
    <w:p w:rsidR="006D0C4D" w:rsidRPr="002D30F1" w:rsidRDefault="00527364" w:rsidP="00527364">
      <w:pPr>
        <w:pStyle w:val="Paragraphedeliste"/>
        <w:numPr>
          <w:ilvl w:val="0"/>
          <w:numId w:val="29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Les propositions</w:t>
      </w:r>
      <w:r w:rsidR="006D0C4D" w:rsidRPr="002D30F1">
        <w:rPr>
          <w:rFonts w:cs="Arial"/>
          <w:color w:val="002060"/>
        </w:rPr>
        <w:t xml:space="preserve"> de solutions adaptées à la situation de</w:t>
      </w:r>
      <w:r w:rsidR="003505FB">
        <w:rPr>
          <w:rFonts w:cs="Arial"/>
          <w:color w:val="002060"/>
        </w:rPr>
        <w:t>s parties et à leurs objectifs.</w:t>
      </w:r>
    </w:p>
    <w:p w:rsidR="006D0C4D" w:rsidRPr="002D30F1" w:rsidRDefault="006D0C4D" w:rsidP="00527364">
      <w:pPr>
        <w:pStyle w:val="Paragraphedeliste"/>
        <w:ind w:left="1080"/>
        <w:jc w:val="both"/>
        <w:rPr>
          <w:rFonts w:cs="Arial"/>
          <w:color w:val="002060"/>
        </w:rPr>
      </w:pPr>
    </w:p>
    <w:p w:rsidR="005A6111" w:rsidRPr="002D30F1" w:rsidRDefault="005A6111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La rédaction des actes nécessaires (promesse de vente et vente) ou l’analyse des projets établis par le notaire de l’autre partie le cas échéant ;</w:t>
      </w:r>
    </w:p>
    <w:p w:rsidR="006D0C4D" w:rsidRPr="002D30F1" w:rsidRDefault="006D0C4D" w:rsidP="00527364">
      <w:pPr>
        <w:pStyle w:val="Paragraphedeliste"/>
        <w:jc w:val="both"/>
        <w:rPr>
          <w:rFonts w:cs="Arial"/>
          <w:color w:val="002060"/>
        </w:rPr>
      </w:pPr>
    </w:p>
    <w:p w:rsidR="006D0C4D" w:rsidRPr="002D30F1" w:rsidRDefault="006D0C4D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</w:t>
      </w:r>
      <w:r w:rsidR="00656C17">
        <w:rPr>
          <w:rFonts w:cs="Arial"/>
          <w:color w:val="002060"/>
        </w:rPr>
        <w:t>’organisation et l</w:t>
      </w:r>
      <w:r w:rsidRPr="002D30F1">
        <w:rPr>
          <w:rFonts w:cs="Arial"/>
          <w:color w:val="002060"/>
        </w:rPr>
        <w:t>a tenue de(s) rendez-vous de signature ;</w:t>
      </w:r>
    </w:p>
    <w:p w:rsidR="005A6111" w:rsidRPr="002D30F1" w:rsidRDefault="005A6111" w:rsidP="005A6111">
      <w:pPr>
        <w:pStyle w:val="Paragraphedeliste"/>
        <w:rPr>
          <w:rFonts w:cs="Arial"/>
          <w:color w:val="002060"/>
        </w:rPr>
      </w:pPr>
    </w:p>
    <w:p w:rsidR="005A6111" w:rsidRPr="002D30F1" w:rsidRDefault="005A6111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La purge de tous droits de préemption et préférence ;</w:t>
      </w:r>
    </w:p>
    <w:p w:rsidR="005A6111" w:rsidRPr="002D30F1" w:rsidRDefault="005A6111" w:rsidP="00527364">
      <w:pPr>
        <w:pStyle w:val="Paragraphedeliste"/>
        <w:jc w:val="both"/>
        <w:rPr>
          <w:rFonts w:cs="Arial"/>
          <w:color w:val="002060"/>
        </w:rPr>
      </w:pPr>
    </w:p>
    <w:p w:rsidR="006D0C4D" w:rsidRPr="002D30F1" w:rsidRDefault="006D0C4D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L’accomplissement des formalités et notifications exigées par la loi ;</w:t>
      </w:r>
    </w:p>
    <w:p w:rsidR="006D0C4D" w:rsidRPr="002D30F1" w:rsidRDefault="006D0C4D" w:rsidP="00527364">
      <w:pPr>
        <w:pStyle w:val="Paragraphedeliste"/>
        <w:jc w:val="both"/>
        <w:rPr>
          <w:rFonts w:cs="Arial"/>
          <w:color w:val="002060"/>
        </w:rPr>
      </w:pPr>
    </w:p>
    <w:p w:rsidR="005A6111" w:rsidRPr="002D30F1" w:rsidRDefault="005A6111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Le calcul de l’impôt sur la plus-value et l’établissement de la déclaration correspondante, déposée au service des impôts compétent lors de la publication de l’acte</w:t>
      </w:r>
      <w:r w:rsidR="003505FB">
        <w:rPr>
          <w:rFonts w:cs="Arial"/>
          <w:color w:val="002060"/>
        </w:rPr>
        <w:t xml:space="preserve"> de vente</w:t>
      </w:r>
      <w:r w:rsidRPr="002D30F1">
        <w:rPr>
          <w:rFonts w:cs="Arial"/>
          <w:color w:val="002060"/>
        </w:rPr>
        <w:t> ;</w:t>
      </w:r>
    </w:p>
    <w:p w:rsidR="006D0C4D" w:rsidRPr="002D30F1" w:rsidRDefault="006D0C4D" w:rsidP="00527364">
      <w:pPr>
        <w:pStyle w:val="Paragraphedeliste"/>
        <w:jc w:val="both"/>
        <w:rPr>
          <w:rFonts w:cs="Arial"/>
          <w:color w:val="002060"/>
        </w:rPr>
      </w:pPr>
    </w:p>
    <w:p w:rsidR="006D0C4D" w:rsidRPr="002D30F1" w:rsidRDefault="006D0C4D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Le calcul, la collecte et le paiement d</w:t>
      </w:r>
      <w:r w:rsidR="003505FB">
        <w:rPr>
          <w:rFonts w:cs="Arial"/>
          <w:color w:val="002060"/>
        </w:rPr>
        <w:t>es droits et taxes dus à l’Etat ;</w:t>
      </w:r>
    </w:p>
    <w:p w:rsidR="009C249D" w:rsidRPr="002D30F1" w:rsidRDefault="009C249D" w:rsidP="00527364">
      <w:pPr>
        <w:pStyle w:val="Paragraphedeliste"/>
        <w:jc w:val="both"/>
        <w:rPr>
          <w:rFonts w:cs="Arial"/>
          <w:color w:val="002060"/>
        </w:rPr>
      </w:pPr>
    </w:p>
    <w:p w:rsidR="00656C17" w:rsidRDefault="00656C17" w:rsidP="00656C17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La perception du</w:t>
      </w:r>
      <w:r w:rsidRPr="002D30F1">
        <w:rPr>
          <w:rFonts w:cs="Arial"/>
          <w:color w:val="002060"/>
        </w:rPr>
        <w:t xml:space="preserve"> prix</w:t>
      </w:r>
      <w:r>
        <w:rPr>
          <w:rFonts w:cs="Arial"/>
          <w:color w:val="002060"/>
        </w:rPr>
        <w:t xml:space="preserve"> de vente et sa remise au vendeur, après, le cas échéant paiement de créanciers disposant d’un droit de priorité sur le prix ;</w:t>
      </w:r>
    </w:p>
    <w:p w:rsidR="003505FB" w:rsidRPr="003505FB" w:rsidRDefault="003505FB" w:rsidP="003505FB">
      <w:pPr>
        <w:pStyle w:val="Paragraphedeliste"/>
        <w:rPr>
          <w:rFonts w:cs="Arial"/>
          <w:color w:val="002060"/>
        </w:rPr>
      </w:pPr>
    </w:p>
    <w:p w:rsidR="003505FB" w:rsidRPr="002D30F1" w:rsidRDefault="003505FB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L’enregistrement de la promesse de vente ;</w:t>
      </w:r>
    </w:p>
    <w:p w:rsidR="006D0C4D" w:rsidRPr="002D30F1" w:rsidRDefault="006D0C4D" w:rsidP="00527364">
      <w:pPr>
        <w:pStyle w:val="Paragraphedeliste"/>
        <w:jc w:val="both"/>
        <w:rPr>
          <w:rFonts w:cs="Arial"/>
          <w:color w:val="002060"/>
        </w:rPr>
      </w:pPr>
    </w:p>
    <w:p w:rsidR="005A6111" w:rsidRPr="002D30F1" w:rsidRDefault="006D0C4D" w:rsidP="00527364">
      <w:pPr>
        <w:pStyle w:val="Paragraphedeliste"/>
        <w:numPr>
          <w:ilvl w:val="0"/>
          <w:numId w:val="28"/>
        </w:num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 xml:space="preserve">La publication de l’acte </w:t>
      </w:r>
      <w:r w:rsidR="003505FB">
        <w:rPr>
          <w:rFonts w:cs="Arial"/>
          <w:color w:val="002060"/>
        </w:rPr>
        <w:t xml:space="preserve">de vente </w:t>
      </w:r>
      <w:r w:rsidRPr="002D30F1">
        <w:rPr>
          <w:rFonts w:cs="Arial"/>
          <w:color w:val="002060"/>
        </w:rPr>
        <w:t>au service de publicité foncière compétent.</w:t>
      </w:r>
    </w:p>
    <w:p w:rsidR="006D0C4D" w:rsidRPr="002D30F1" w:rsidRDefault="006D0C4D" w:rsidP="006D0C4D">
      <w:pPr>
        <w:pStyle w:val="Paragraphedeliste"/>
        <w:rPr>
          <w:rFonts w:cs="Arial"/>
          <w:color w:val="002060"/>
        </w:rPr>
      </w:pPr>
    </w:p>
    <w:p w:rsidR="00D9379C" w:rsidRDefault="00D9379C" w:rsidP="00961DCA">
      <w:pPr>
        <w:rPr>
          <w:rFonts w:cs="Arial"/>
          <w:color w:val="002060"/>
        </w:rPr>
      </w:pPr>
    </w:p>
    <w:p w:rsidR="00961DCA" w:rsidRDefault="00961DCA" w:rsidP="003505FB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L’ensemble des missions décrites ci-dessus est couvert par le </w:t>
      </w:r>
      <w:r w:rsidRPr="002D30F1">
        <w:rPr>
          <w:rFonts w:cs="Arial"/>
          <w:color w:val="002060"/>
        </w:rPr>
        <w:t>tarif des notaires et la rémunération de l’office notarial (à la charge de l’acquéreur) sera calculée sur cette base.</w:t>
      </w:r>
    </w:p>
    <w:p w:rsidR="00961DCA" w:rsidRPr="002D30F1" w:rsidRDefault="00961DCA" w:rsidP="003505FB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L’intervention de deux notaires n’entraîne pas de coût supplémentaire pour ce qui concerne les missions tarifées, puisque les émoluments sont alors partagés entre les deux études.</w:t>
      </w:r>
    </w:p>
    <w:p w:rsidR="00961DCA" w:rsidRPr="002D30F1" w:rsidRDefault="00961DCA" w:rsidP="003505FB">
      <w:p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Le tarif des notaires est </w:t>
      </w:r>
      <w:r w:rsidRPr="002D30F1">
        <w:rPr>
          <w:rFonts w:cs="Arial"/>
          <w:color w:val="002060"/>
        </w:rPr>
        <w:t>fixé par décret, pour l’ensemble du territoire national</w:t>
      </w:r>
      <w:r>
        <w:rPr>
          <w:rFonts w:cs="Arial"/>
          <w:color w:val="002060"/>
        </w:rPr>
        <w:t>, en fonction du prix de vente.</w:t>
      </w:r>
    </w:p>
    <w:p w:rsidR="00961DCA" w:rsidRDefault="003505FB" w:rsidP="00961DCA">
      <w:pPr>
        <w:rPr>
          <w:rFonts w:cs="Arial"/>
          <w:color w:val="002060"/>
        </w:rPr>
      </w:pPr>
      <w:r>
        <w:rPr>
          <w:rFonts w:cs="Arial"/>
          <w:color w:val="002060"/>
        </w:rPr>
        <w:t>Il peut faire l’objet de réductions, dans les limites prévues par la loi.</w:t>
      </w:r>
    </w:p>
    <w:p w:rsidR="00961DCA" w:rsidRPr="00961DCA" w:rsidRDefault="00961DCA" w:rsidP="00961DCA">
      <w:pPr>
        <w:rPr>
          <w:rFonts w:cs="Arial"/>
          <w:color w:val="002060"/>
        </w:rPr>
      </w:pPr>
    </w:p>
    <w:p w:rsidR="00A76D10" w:rsidRPr="002D30F1" w:rsidRDefault="00A76D10" w:rsidP="00527364">
      <w:pPr>
        <w:pStyle w:val="Paragraphedeliste"/>
        <w:numPr>
          <w:ilvl w:val="0"/>
          <w:numId w:val="27"/>
        </w:numPr>
        <w:jc w:val="both"/>
        <w:rPr>
          <w:rFonts w:cs="Arial"/>
          <w:i/>
          <w:color w:val="002060"/>
          <w:sz w:val="24"/>
          <w:szCs w:val="24"/>
          <w:u w:val="single"/>
        </w:rPr>
      </w:pPr>
      <w:r w:rsidRPr="002D30F1">
        <w:rPr>
          <w:rFonts w:cs="Arial"/>
          <w:i/>
          <w:color w:val="002060"/>
          <w:sz w:val="24"/>
          <w:szCs w:val="24"/>
          <w:u w:val="single"/>
        </w:rPr>
        <w:t>Missions annexes et prestations complémentaires</w:t>
      </w:r>
    </w:p>
    <w:p w:rsidR="006D0C4D" w:rsidRPr="002D30F1" w:rsidRDefault="006D0C4D" w:rsidP="00527364">
      <w:pPr>
        <w:jc w:val="both"/>
        <w:rPr>
          <w:rFonts w:cs="Arial"/>
          <w:color w:val="002060"/>
        </w:rPr>
      </w:pPr>
    </w:p>
    <w:p w:rsidR="00B10C10" w:rsidRPr="002D30F1" w:rsidRDefault="00E67C68" w:rsidP="00527364">
      <w:p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Parallèlement aux missions entrant dans le cadre du tarif (et rappelées ci-dessus), certaines prestations, audits, analyses ou simulations</w:t>
      </w:r>
      <w:r w:rsidR="0076348C">
        <w:rPr>
          <w:rFonts w:cs="Arial"/>
          <w:color w:val="002060"/>
        </w:rPr>
        <w:t xml:space="preserve"> </w:t>
      </w:r>
      <w:r w:rsidR="0076348C" w:rsidRPr="002D30F1">
        <w:rPr>
          <w:rFonts w:cs="Arial"/>
          <w:color w:val="002060"/>
        </w:rPr>
        <w:t>complémentaires</w:t>
      </w:r>
      <w:r w:rsidRPr="002D30F1">
        <w:rPr>
          <w:rFonts w:cs="Arial"/>
          <w:color w:val="002060"/>
        </w:rPr>
        <w:t>, feront l’objet, si vous nous en confiez la réalisation, d’une rémunération spécifique distincte</w:t>
      </w:r>
      <w:r w:rsidR="00527364">
        <w:rPr>
          <w:rFonts w:cs="Arial"/>
          <w:color w:val="002060"/>
        </w:rPr>
        <w:t>,</w:t>
      </w:r>
      <w:r w:rsidRPr="002D30F1">
        <w:rPr>
          <w:rFonts w:cs="Arial"/>
          <w:color w:val="002060"/>
        </w:rPr>
        <w:t xml:space="preserve"> convenue avec vous</w:t>
      </w:r>
      <w:r w:rsidR="00B10C10" w:rsidRPr="002D30F1">
        <w:rPr>
          <w:rFonts w:cs="Arial"/>
          <w:color w:val="002060"/>
        </w:rPr>
        <w:t>.</w:t>
      </w:r>
    </w:p>
    <w:p w:rsidR="00B10C10" w:rsidRPr="002D30F1" w:rsidRDefault="00B10C10" w:rsidP="00527364">
      <w:pPr>
        <w:jc w:val="both"/>
        <w:rPr>
          <w:rFonts w:cs="Arial"/>
          <w:color w:val="002060"/>
        </w:rPr>
      </w:pPr>
    </w:p>
    <w:p w:rsidR="00527364" w:rsidRDefault="00B10C10" w:rsidP="00527364">
      <w:p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>Il pourra notamment s’agir de</w:t>
      </w:r>
      <w:r w:rsidR="00527364">
        <w:rPr>
          <w:rFonts w:cs="Arial"/>
          <w:color w:val="002060"/>
        </w:rPr>
        <w:t> :</w:t>
      </w:r>
    </w:p>
    <w:p w:rsidR="00527364" w:rsidRDefault="00527364" w:rsidP="00527364">
      <w:pPr>
        <w:pStyle w:val="Paragraphedeliste"/>
        <w:numPr>
          <w:ilvl w:val="0"/>
          <w:numId w:val="30"/>
        </w:numPr>
        <w:jc w:val="both"/>
        <w:rPr>
          <w:rFonts w:cs="Arial"/>
          <w:color w:val="002060"/>
        </w:rPr>
      </w:pPr>
      <w:r w:rsidRPr="00527364">
        <w:rPr>
          <w:rFonts w:cs="Arial"/>
          <w:color w:val="002060"/>
        </w:rPr>
        <w:t xml:space="preserve">La rédaction </w:t>
      </w:r>
      <w:r>
        <w:rPr>
          <w:rFonts w:cs="Arial"/>
          <w:color w:val="002060"/>
        </w:rPr>
        <w:t>d’actes et documents non compris dans le tarif</w:t>
      </w:r>
      <w:r w:rsidR="0076348C">
        <w:rPr>
          <w:rFonts w:cs="Arial"/>
          <w:color w:val="002060"/>
        </w:rPr>
        <w:t> ;</w:t>
      </w:r>
    </w:p>
    <w:p w:rsidR="00527364" w:rsidRDefault="00527364" w:rsidP="00527364">
      <w:pPr>
        <w:pStyle w:val="Paragraphedeliste"/>
        <w:numPr>
          <w:ilvl w:val="0"/>
          <w:numId w:val="30"/>
        </w:num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L’accomplissement de démarches afin de traiter les difficultés apparues en cours de dossier</w:t>
      </w:r>
      <w:r w:rsidR="0076348C">
        <w:rPr>
          <w:rFonts w:cs="Arial"/>
          <w:color w:val="002060"/>
        </w:rPr>
        <w:t> ;</w:t>
      </w:r>
    </w:p>
    <w:p w:rsidR="00527364" w:rsidRDefault="00527364" w:rsidP="00527364">
      <w:pPr>
        <w:pStyle w:val="Paragraphedeliste"/>
        <w:numPr>
          <w:ilvl w:val="0"/>
          <w:numId w:val="30"/>
        </w:numPr>
        <w:jc w:val="both"/>
        <w:rPr>
          <w:rFonts w:cs="Arial"/>
          <w:color w:val="002060"/>
        </w:rPr>
      </w:pPr>
      <w:r>
        <w:rPr>
          <w:rFonts w:cs="Arial"/>
          <w:color w:val="002060"/>
        </w:rPr>
        <w:t>Les consultations juridiques détachables</w:t>
      </w:r>
      <w:r w:rsidR="0076348C">
        <w:rPr>
          <w:rFonts w:cs="Arial"/>
          <w:color w:val="002060"/>
        </w:rPr>
        <w:t>.</w:t>
      </w:r>
    </w:p>
    <w:p w:rsidR="00E67C68" w:rsidRPr="002D30F1" w:rsidRDefault="00E67C68" w:rsidP="00527364">
      <w:pPr>
        <w:jc w:val="both"/>
        <w:rPr>
          <w:rFonts w:cs="Arial"/>
          <w:color w:val="002060"/>
        </w:rPr>
      </w:pPr>
    </w:p>
    <w:p w:rsidR="00E67C68" w:rsidRPr="002D30F1" w:rsidRDefault="00E67C68" w:rsidP="00527364">
      <w:p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 xml:space="preserve">Vous trouverez </w:t>
      </w:r>
      <w:r w:rsidR="00D24878" w:rsidRPr="002D30F1">
        <w:rPr>
          <w:rFonts w:cs="Arial"/>
          <w:color w:val="002060"/>
        </w:rPr>
        <w:t>en annexe</w:t>
      </w:r>
      <w:r w:rsidRPr="002D30F1">
        <w:rPr>
          <w:rFonts w:cs="Arial"/>
          <w:color w:val="002060"/>
        </w:rPr>
        <w:t xml:space="preserve"> une liste </w:t>
      </w:r>
      <w:r w:rsidR="0076348C">
        <w:rPr>
          <w:rFonts w:cs="Arial"/>
          <w:color w:val="002060"/>
        </w:rPr>
        <w:t xml:space="preserve">indicative </w:t>
      </w:r>
      <w:r w:rsidRPr="002D30F1">
        <w:rPr>
          <w:rFonts w:cs="Arial"/>
          <w:color w:val="002060"/>
        </w:rPr>
        <w:t>de ces prestations, avec la rémunération correspondante.</w:t>
      </w:r>
    </w:p>
    <w:p w:rsidR="00E67C68" w:rsidRPr="002D30F1" w:rsidRDefault="00E67C68" w:rsidP="00527364">
      <w:pPr>
        <w:jc w:val="both"/>
        <w:rPr>
          <w:rFonts w:cs="Arial"/>
          <w:color w:val="002060"/>
        </w:rPr>
      </w:pPr>
    </w:p>
    <w:p w:rsidR="006D0C4D" w:rsidRPr="002D30F1" w:rsidRDefault="00E67C68" w:rsidP="00527364">
      <w:pPr>
        <w:jc w:val="both"/>
        <w:rPr>
          <w:rFonts w:cs="Arial"/>
          <w:color w:val="002060"/>
        </w:rPr>
      </w:pPr>
      <w:r w:rsidRPr="002D30F1">
        <w:rPr>
          <w:rFonts w:cs="Arial"/>
          <w:color w:val="002060"/>
        </w:rPr>
        <w:t xml:space="preserve">Nous vous informerons </w:t>
      </w:r>
      <w:r w:rsidR="00D24878" w:rsidRPr="002D30F1">
        <w:rPr>
          <w:rFonts w:cs="Arial"/>
          <w:color w:val="002060"/>
        </w:rPr>
        <w:t xml:space="preserve">le cas échéant et le moment venu </w:t>
      </w:r>
      <w:r w:rsidRPr="002D30F1">
        <w:rPr>
          <w:rFonts w:cs="Arial"/>
          <w:color w:val="002060"/>
        </w:rPr>
        <w:t>de l’utilité ou de la nécessité de ces démarches.</w:t>
      </w:r>
    </w:p>
    <w:p w:rsidR="006D0C4D" w:rsidRPr="002D30F1" w:rsidRDefault="006D0C4D" w:rsidP="00527364">
      <w:pPr>
        <w:jc w:val="both"/>
        <w:rPr>
          <w:rFonts w:cs="Arial"/>
          <w:color w:val="002060"/>
        </w:rPr>
      </w:pPr>
    </w:p>
    <w:p w:rsidR="00D24878" w:rsidRPr="002D30F1" w:rsidRDefault="0076348C" w:rsidP="00527364">
      <w:pPr>
        <w:pBdr>
          <w:top w:val="thinThickThinMediumGap" w:sz="24" w:space="1" w:color="4472C4" w:themeColor="accent1"/>
          <w:bottom w:val="thinThickThinMediumGap" w:sz="24" w:space="1" w:color="4472C4" w:themeColor="accent1"/>
        </w:pBdr>
        <w:jc w:val="both"/>
        <w:rPr>
          <w:rFonts w:ascii="Bahnschrift" w:hAnsi="Bahnschrift"/>
          <w:i/>
          <w:color w:val="002060"/>
        </w:rPr>
      </w:pPr>
      <w:r>
        <w:rPr>
          <w:rFonts w:ascii="Bahnschrift" w:hAnsi="Bahnschrift"/>
          <w:i/>
          <w:color w:val="002060"/>
        </w:rPr>
        <w:t>Le v</w:t>
      </w:r>
      <w:r w:rsidR="00D24878" w:rsidRPr="002D30F1">
        <w:rPr>
          <w:rFonts w:ascii="Bahnschrift" w:hAnsi="Bahnschrift"/>
          <w:i/>
          <w:color w:val="002060"/>
        </w:rPr>
        <w:t xml:space="preserve">endeur déclare être parfaitement informé des </w:t>
      </w:r>
      <w:r w:rsidR="003505FB">
        <w:rPr>
          <w:rFonts w:ascii="Bahnschrift" w:hAnsi="Bahnschrift"/>
          <w:i/>
          <w:color w:val="002060"/>
        </w:rPr>
        <w:t xml:space="preserve">contours et des </w:t>
      </w:r>
      <w:r w:rsidR="00D24878" w:rsidRPr="002D30F1">
        <w:rPr>
          <w:rFonts w:ascii="Bahnschrift" w:hAnsi="Bahnschrift"/>
          <w:i/>
          <w:color w:val="002060"/>
        </w:rPr>
        <w:t>conditions d’intervention de l’</w:t>
      </w:r>
      <w:r w:rsidR="009B1751" w:rsidRPr="002D30F1">
        <w:rPr>
          <w:rFonts w:ascii="Bahnschrift" w:hAnsi="Bahnschrift"/>
          <w:i/>
          <w:color w:val="002060"/>
        </w:rPr>
        <w:t>o</w:t>
      </w:r>
      <w:r w:rsidR="00D24878" w:rsidRPr="002D30F1">
        <w:rPr>
          <w:rFonts w:ascii="Bahnschrift" w:hAnsi="Bahnschrift"/>
          <w:i/>
          <w:color w:val="002060"/>
        </w:rPr>
        <w:t>ffice</w:t>
      </w:r>
      <w:r w:rsidR="009B1751" w:rsidRPr="002D30F1">
        <w:rPr>
          <w:rFonts w:ascii="Bahnschrift" w:hAnsi="Bahnschrift"/>
          <w:i/>
          <w:color w:val="002060"/>
        </w:rPr>
        <w:t xml:space="preserve"> notarial</w:t>
      </w:r>
      <w:r w:rsidR="00D24878" w:rsidRPr="002D30F1">
        <w:rPr>
          <w:rFonts w:ascii="Bahnschrift" w:hAnsi="Bahnschrift"/>
          <w:i/>
          <w:color w:val="002060"/>
        </w:rPr>
        <w:t xml:space="preserve"> et</w:t>
      </w:r>
      <w:r w:rsidR="009B1751" w:rsidRPr="002D30F1">
        <w:rPr>
          <w:rFonts w:ascii="Bahnschrift" w:hAnsi="Bahnschrift"/>
          <w:i/>
          <w:color w:val="002060"/>
        </w:rPr>
        <w:t xml:space="preserve"> </w:t>
      </w:r>
      <w:r w:rsidR="003505FB">
        <w:rPr>
          <w:rFonts w:ascii="Bahnschrift" w:hAnsi="Bahnschrift"/>
          <w:i/>
          <w:color w:val="002060"/>
        </w:rPr>
        <w:t xml:space="preserve">les </w:t>
      </w:r>
      <w:r w:rsidR="003505FB" w:rsidRPr="002D30F1">
        <w:rPr>
          <w:rFonts w:ascii="Bahnschrift" w:hAnsi="Bahnschrift"/>
          <w:i/>
          <w:color w:val="002060"/>
        </w:rPr>
        <w:t>accepter</w:t>
      </w:r>
      <w:r w:rsidR="003505FB">
        <w:rPr>
          <w:rFonts w:ascii="Bahnschrift" w:hAnsi="Bahnschrift"/>
          <w:i/>
          <w:color w:val="002060"/>
        </w:rPr>
        <w:t xml:space="preserve"> </w:t>
      </w:r>
      <w:r w:rsidR="009B1751" w:rsidRPr="002D30F1">
        <w:rPr>
          <w:rFonts w:ascii="Bahnschrift" w:hAnsi="Bahnschrift"/>
          <w:i/>
          <w:color w:val="002060"/>
        </w:rPr>
        <w:t>e</w:t>
      </w:r>
      <w:r w:rsidR="003505FB">
        <w:rPr>
          <w:rFonts w:ascii="Bahnschrift" w:hAnsi="Bahnschrift"/>
          <w:i/>
          <w:color w:val="002060"/>
        </w:rPr>
        <w:t>xpressément.</w:t>
      </w:r>
    </w:p>
    <w:p w:rsidR="00D24878" w:rsidRPr="002D30F1" w:rsidRDefault="009B1751" w:rsidP="00527364">
      <w:pPr>
        <w:pBdr>
          <w:top w:val="thinThickThinMediumGap" w:sz="24" w:space="1" w:color="4472C4" w:themeColor="accent1"/>
          <w:bottom w:val="thinThickThinMediumGap" w:sz="24" w:space="1" w:color="4472C4" w:themeColor="accent1"/>
        </w:pBdr>
        <w:jc w:val="both"/>
        <w:rPr>
          <w:rFonts w:ascii="Bahnschrift" w:hAnsi="Bahnschrift"/>
          <w:i/>
          <w:color w:val="002060"/>
        </w:rPr>
      </w:pPr>
      <w:r w:rsidRPr="002D30F1">
        <w:rPr>
          <w:rFonts w:ascii="Bahnschrift" w:hAnsi="Bahnschrift"/>
          <w:i/>
          <w:color w:val="002060"/>
        </w:rPr>
        <w:t>A l’appui de ce mandat, le v</w:t>
      </w:r>
      <w:r w:rsidR="00D24878" w:rsidRPr="002D30F1">
        <w:rPr>
          <w:rFonts w:ascii="Bahnschrift" w:hAnsi="Bahnschrift"/>
          <w:i/>
          <w:color w:val="002060"/>
        </w:rPr>
        <w:t>endeur verse par virement à l’</w:t>
      </w:r>
      <w:r w:rsidRPr="002D30F1">
        <w:rPr>
          <w:rFonts w:ascii="Bahnschrift" w:hAnsi="Bahnschrift"/>
          <w:i/>
          <w:color w:val="002060"/>
        </w:rPr>
        <w:t>o</w:t>
      </w:r>
      <w:r w:rsidR="00D24878" w:rsidRPr="002D30F1">
        <w:rPr>
          <w:rFonts w:ascii="Bahnschrift" w:hAnsi="Bahnschrift"/>
          <w:i/>
          <w:color w:val="002060"/>
        </w:rPr>
        <w:t>ffice</w:t>
      </w:r>
      <w:r w:rsidRPr="002D30F1">
        <w:rPr>
          <w:rFonts w:ascii="Bahnschrift" w:hAnsi="Bahnschrift"/>
          <w:i/>
          <w:color w:val="002060"/>
        </w:rPr>
        <w:t xml:space="preserve"> notarial</w:t>
      </w:r>
      <w:r w:rsidR="00D24878" w:rsidRPr="002D30F1">
        <w:rPr>
          <w:rFonts w:ascii="Bahnschrift" w:hAnsi="Bahnschrift"/>
          <w:i/>
          <w:color w:val="002060"/>
        </w:rPr>
        <w:t xml:space="preserve"> la </w:t>
      </w:r>
      <w:r w:rsidR="00D24878" w:rsidRPr="00C61FD7">
        <w:rPr>
          <w:rFonts w:ascii="Bahnschrift" w:hAnsi="Bahnschrift"/>
          <w:i/>
          <w:color w:val="002060"/>
          <w:u w:val="single"/>
        </w:rPr>
        <w:t>somme de 300,00</w:t>
      </w:r>
      <w:r w:rsidRPr="00C61FD7">
        <w:rPr>
          <w:rFonts w:ascii="Bahnschrift" w:hAnsi="Bahnschrift"/>
          <w:i/>
          <w:color w:val="002060"/>
          <w:u w:val="single"/>
        </w:rPr>
        <w:t xml:space="preserve"> €</w:t>
      </w:r>
      <w:r w:rsidRPr="002D30F1">
        <w:rPr>
          <w:rFonts w:ascii="Bahnschrift" w:hAnsi="Bahnschrift"/>
          <w:i/>
          <w:color w:val="002060"/>
        </w:rPr>
        <w:t xml:space="preserve"> </w:t>
      </w:r>
      <w:r w:rsidR="00D24878" w:rsidRPr="002D30F1">
        <w:rPr>
          <w:rFonts w:ascii="Bahnschrift" w:hAnsi="Bahnschrift"/>
          <w:i/>
          <w:color w:val="002060"/>
        </w:rPr>
        <w:t>à titre de provision sur frais, en vue de l’ouverture de ce dossier et de la couverture</w:t>
      </w:r>
      <w:r w:rsidRPr="002D30F1">
        <w:rPr>
          <w:rFonts w:ascii="Bahnschrift" w:hAnsi="Bahnschrift"/>
          <w:i/>
          <w:color w:val="002060"/>
        </w:rPr>
        <w:t xml:space="preserve"> </w:t>
      </w:r>
      <w:r w:rsidR="00D24878" w:rsidRPr="002D30F1">
        <w:rPr>
          <w:rFonts w:ascii="Bahnschrift" w:hAnsi="Bahnschrift"/>
          <w:i/>
          <w:color w:val="002060"/>
        </w:rPr>
        <w:t>des frais de demande des premières pièces.</w:t>
      </w:r>
    </w:p>
    <w:p w:rsidR="00417E1D" w:rsidRPr="002D30F1" w:rsidRDefault="00417E1D" w:rsidP="00D24878">
      <w:pPr>
        <w:autoSpaceDE w:val="0"/>
        <w:autoSpaceDN w:val="0"/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D9379C" w:rsidRPr="002D30F1" w:rsidRDefault="00D9379C" w:rsidP="00D24878">
      <w:pPr>
        <w:autoSpaceDE w:val="0"/>
        <w:autoSpaceDN w:val="0"/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D9379C" w:rsidRPr="002D30F1" w:rsidRDefault="00D9379C" w:rsidP="00D9379C">
      <w:pPr>
        <w:autoSpaceDE w:val="0"/>
        <w:autoSpaceDN w:val="0"/>
        <w:adjustRightInd w:val="0"/>
        <w:ind w:left="2124" w:firstLine="708"/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</w:pPr>
      <w:r w:rsidRPr="002D30F1"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  <w:t>***insertion du RIB de l’étude***</w:t>
      </w:r>
    </w:p>
    <w:p w:rsidR="00417E1D" w:rsidRDefault="00417E1D" w:rsidP="00D24878">
      <w:pPr>
        <w:autoSpaceDE w:val="0"/>
        <w:autoSpaceDN w:val="0"/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27364" w:rsidRDefault="00527364" w:rsidP="00D24878">
      <w:pPr>
        <w:autoSpaceDE w:val="0"/>
        <w:autoSpaceDN w:val="0"/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D24878" w:rsidRPr="002D30F1" w:rsidRDefault="00D24878" w:rsidP="00D24878">
      <w:pPr>
        <w:autoSpaceDE w:val="0"/>
        <w:autoSpaceDN w:val="0"/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bookmarkStart w:id="0" w:name="_GoBack"/>
      <w:bookmarkEnd w:id="0"/>
      <w:r w:rsidRPr="002D30F1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Fait à</w:t>
      </w:r>
    </w:p>
    <w:p w:rsidR="00D24878" w:rsidRPr="002D30F1" w:rsidRDefault="00D24878" w:rsidP="00D24878">
      <w:pPr>
        <w:autoSpaceDE w:val="0"/>
        <w:autoSpaceDN w:val="0"/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D30F1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Le</w:t>
      </w:r>
    </w:p>
    <w:p w:rsidR="00417E1D" w:rsidRPr="002D30F1" w:rsidRDefault="00417E1D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p w:rsidR="00D24878" w:rsidRPr="002D30F1" w:rsidRDefault="00D24878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  <w:r w:rsidRPr="002D30F1"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  <w:t>Signature valant acceptation du mandat et de son annexe</w:t>
      </w:r>
    </w:p>
    <w:p w:rsidR="001F5C60" w:rsidRPr="002D30F1" w:rsidRDefault="001F5C60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p w:rsidR="001F5C60" w:rsidRPr="002D30F1" w:rsidRDefault="001F5C60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p w:rsidR="001F5C60" w:rsidRPr="002D30F1" w:rsidRDefault="001F5C60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p w:rsidR="001F5C60" w:rsidRPr="002D30F1" w:rsidRDefault="001F5C60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p w:rsidR="001F5C60" w:rsidRPr="00527364" w:rsidRDefault="00527364" w:rsidP="00527364">
      <w:pPr>
        <w:jc w:val="center"/>
        <w:rPr>
          <w:rFonts w:ascii="Calibri" w:eastAsiaTheme="minorHAnsi" w:hAnsi="Calibri" w:cs="Calibri"/>
          <w:b/>
          <w:color w:val="002060"/>
          <w:sz w:val="28"/>
          <w:szCs w:val="22"/>
          <w:u w:val="single"/>
          <w:lang w:eastAsia="en-US"/>
        </w:rPr>
      </w:pPr>
      <w:r w:rsidRPr="00527364">
        <w:rPr>
          <w:rFonts w:ascii="Calibri" w:eastAsiaTheme="minorHAnsi" w:hAnsi="Calibri" w:cs="Calibri"/>
          <w:b/>
          <w:color w:val="002060"/>
          <w:sz w:val="28"/>
          <w:szCs w:val="22"/>
          <w:u w:val="single"/>
          <w:lang w:eastAsia="en-US"/>
        </w:rPr>
        <w:lastRenderedPageBreak/>
        <w:t>Liste des prestations complémentaires</w:t>
      </w:r>
    </w:p>
    <w:p w:rsidR="00527364" w:rsidRPr="002D30F1" w:rsidRDefault="00527364" w:rsidP="00527364">
      <w:pPr>
        <w:jc w:val="center"/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7364" w:rsidTr="00527364">
        <w:trPr>
          <w:trHeight w:val="944"/>
        </w:trPr>
        <w:tc>
          <w:tcPr>
            <w:tcW w:w="4531" w:type="dxa"/>
          </w:tcPr>
          <w:p w:rsidR="00527364" w:rsidRPr="00527364" w:rsidRDefault="00527364" w:rsidP="00527364">
            <w:pPr>
              <w:jc w:val="center"/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</w:pPr>
          </w:p>
          <w:p w:rsidR="00527364" w:rsidRPr="00527364" w:rsidRDefault="00527364" w:rsidP="00527364">
            <w:pPr>
              <w:jc w:val="center"/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527364"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  <w:t>PRESTATIONS FOURNIES</w:t>
            </w:r>
          </w:p>
        </w:tc>
        <w:tc>
          <w:tcPr>
            <w:tcW w:w="4531" w:type="dxa"/>
          </w:tcPr>
          <w:p w:rsidR="00527364" w:rsidRPr="00527364" w:rsidRDefault="00527364" w:rsidP="00527364">
            <w:pPr>
              <w:jc w:val="center"/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</w:pPr>
          </w:p>
          <w:p w:rsidR="00527364" w:rsidRPr="00527364" w:rsidRDefault="00527364" w:rsidP="00527364">
            <w:pPr>
              <w:jc w:val="center"/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527364"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  <w:t>TARIFS</w:t>
            </w:r>
          </w:p>
        </w:tc>
      </w:tr>
      <w:tr w:rsidR="00961DCA" w:rsidTr="00527364">
        <w:trPr>
          <w:trHeight w:val="829"/>
        </w:trPr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527364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Etablissement d’une procuration</w:t>
            </w:r>
          </w:p>
        </w:tc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961DCA">
            <w:pPr>
              <w:jc w:val="center"/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961DCA" w:rsidTr="00527364">
        <w:trPr>
          <w:trHeight w:val="982"/>
        </w:trPr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527364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Etablissement d’une procuration avec signature électronique</w:t>
            </w:r>
          </w:p>
        </w:tc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961DCA">
            <w:pPr>
              <w:jc w:val="center"/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961DCA" w:rsidTr="00527364">
        <w:trPr>
          <w:trHeight w:val="1124"/>
        </w:trPr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527364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Etablissement d’acte de délibération en matière de société ou de copropriété</w:t>
            </w:r>
          </w:p>
        </w:tc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961DCA">
            <w:pPr>
              <w:jc w:val="center"/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961DCA" w:rsidTr="00527364"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527364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Accompagnement et traitement de litiges</w:t>
            </w: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961DCA">
            <w:pPr>
              <w:jc w:val="center"/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961DCA" w:rsidTr="00527364"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527364" w:rsidRDefault="0076348C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Audit immobilier</w:t>
            </w:r>
          </w:p>
          <w:p w:rsidR="00961DCA" w:rsidRPr="00527364" w:rsidRDefault="003505FB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(analyse des autorisations d’urbanisme, étude sur l’usage et la destination, faisabilité de projets, etc)</w:t>
            </w:r>
          </w:p>
          <w:p w:rsidR="00961DCA" w:rsidRPr="00527364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3505FB" w:rsidRDefault="003505FB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961DCA">
            <w:pPr>
              <w:jc w:val="center"/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527364" w:rsidTr="00527364">
        <w:tc>
          <w:tcPr>
            <w:tcW w:w="4531" w:type="dxa"/>
          </w:tcPr>
          <w:p w:rsidR="00527364" w:rsidRPr="00961DCA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961DC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Constitution d’une société civile</w:t>
            </w:r>
          </w:p>
          <w:p w:rsidR="00527364" w:rsidRPr="00961DCA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527364" w:rsidRPr="00961DCA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527364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527364" w:rsidTr="00527364">
        <w:tc>
          <w:tcPr>
            <w:tcW w:w="4531" w:type="dxa"/>
          </w:tcPr>
          <w:p w:rsidR="00527364" w:rsidRPr="00961DCA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527364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Analyse d’une situation présentant un élément d’extranéité – transfrontière, consultation en droit international privé</w:t>
            </w:r>
          </w:p>
          <w:p w:rsidR="00527364" w:rsidRPr="00961DCA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527364" w:rsidRDefault="00527364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961DCA" w:rsidTr="00527364">
        <w:tc>
          <w:tcPr>
            <w:tcW w:w="4531" w:type="dxa"/>
          </w:tcPr>
          <w:p w:rsidR="00961DCA" w:rsidRP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Analyse et simulations en vue du choix de répartitio</w:t>
            </w:r>
            <w:r w:rsidR="003505FB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n du prix de vente d’un immeuble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démembré</w:t>
            </w:r>
          </w:p>
          <w:p w:rsidR="00961DCA" w:rsidRP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961DCA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  <w:tr w:rsidR="00961DCA" w:rsidTr="00961DCA">
        <w:tc>
          <w:tcPr>
            <w:tcW w:w="4531" w:type="dxa"/>
          </w:tcPr>
          <w:p w:rsidR="00961DCA" w:rsidRP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  <w:p w:rsidR="00961DCA" w:rsidRP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Analyse et simulations en vue de la mise en place des modalités d’acquisition</w:t>
            </w:r>
            <w:r w:rsidR="00C5695F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(démembrement, quasi-usufruit, société, pacte tontinier dans un cadre sociétaire, etc)</w:t>
            </w:r>
          </w:p>
          <w:p w:rsidR="00961DCA" w:rsidRP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:rsid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3505FB" w:rsidRDefault="003505FB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</w:p>
          <w:p w:rsidR="00961DCA" w:rsidRDefault="00961DCA" w:rsidP="008F0746">
            <w:pPr>
              <w:jc w:val="center"/>
              <w:rPr>
                <w:rFonts w:ascii="Calibri" w:eastAsiaTheme="minorHAnsi" w:hAnsi="Calibri" w:cs="Calibri"/>
                <w:color w:val="002060"/>
                <w:sz w:val="22"/>
                <w:szCs w:val="22"/>
                <w:u w:val="single"/>
                <w:lang w:eastAsia="en-US"/>
              </w:rPr>
            </w:pPr>
            <w:r w:rsidRPr="003B6507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à fixer par l’étude</w:t>
            </w:r>
          </w:p>
        </w:tc>
      </w:tr>
    </w:tbl>
    <w:p w:rsidR="001F5C60" w:rsidRPr="002D30F1" w:rsidRDefault="001F5C60" w:rsidP="00D24878">
      <w:pPr>
        <w:rPr>
          <w:rFonts w:ascii="Calibri" w:eastAsiaTheme="minorHAnsi" w:hAnsi="Calibri" w:cs="Calibri"/>
          <w:color w:val="002060"/>
          <w:sz w:val="22"/>
          <w:szCs w:val="22"/>
          <w:u w:val="single"/>
          <w:lang w:eastAsia="en-US"/>
        </w:rPr>
      </w:pPr>
    </w:p>
    <w:p w:rsidR="001F5C60" w:rsidRPr="002D30F1" w:rsidRDefault="001F5C60" w:rsidP="00D24878">
      <w:pPr>
        <w:rPr>
          <w:rFonts w:cs="Arial"/>
          <w:color w:val="002060"/>
          <w:u w:val="single"/>
        </w:rPr>
      </w:pPr>
    </w:p>
    <w:sectPr w:rsidR="001F5C60" w:rsidRPr="002D30F1" w:rsidSect="00527364">
      <w:pgSz w:w="11906" w:h="16838"/>
      <w:pgMar w:top="1417" w:right="1417" w:bottom="1417" w:left="1417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8A" w:rsidRDefault="006D488A" w:rsidP="00527364">
      <w:r>
        <w:separator/>
      </w:r>
    </w:p>
  </w:endnote>
  <w:endnote w:type="continuationSeparator" w:id="0">
    <w:p w:rsidR="006D488A" w:rsidRDefault="006D488A" w:rsidP="0052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8A" w:rsidRDefault="006D488A" w:rsidP="00527364">
      <w:r>
        <w:separator/>
      </w:r>
    </w:p>
  </w:footnote>
  <w:footnote w:type="continuationSeparator" w:id="0">
    <w:p w:rsidR="006D488A" w:rsidRDefault="006D488A" w:rsidP="0052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449"/>
    <w:multiLevelType w:val="hybridMultilevel"/>
    <w:tmpl w:val="AA60D912"/>
    <w:lvl w:ilvl="0" w:tplc="F8428EE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3752FF"/>
    <w:multiLevelType w:val="hybridMultilevel"/>
    <w:tmpl w:val="1BC807AA"/>
    <w:lvl w:ilvl="0" w:tplc="548CE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8CEB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1D3B"/>
    <w:multiLevelType w:val="hybridMultilevel"/>
    <w:tmpl w:val="29D66C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42E9"/>
    <w:multiLevelType w:val="hybridMultilevel"/>
    <w:tmpl w:val="D5E0AAF4"/>
    <w:lvl w:ilvl="0" w:tplc="9064C3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9B4"/>
    <w:multiLevelType w:val="hybridMultilevel"/>
    <w:tmpl w:val="D4E61B4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133A3"/>
    <w:multiLevelType w:val="hybridMultilevel"/>
    <w:tmpl w:val="593002AA"/>
    <w:lvl w:ilvl="0" w:tplc="5350A86E">
      <w:start w:val="1"/>
      <w:numFmt w:val="bullet"/>
      <w:lvlText w:val="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AC0A92"/>
    <w:multiLevelType w:val="hybridMultilevel"/>
    <w:tmpl w:val="81EC9BBA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6C05A2F"/>
    <w:multiLevelType w:val="hybridMultilevel"/>
    <w:tmpl w:val="22825914"/>
    <w:lvl w:ilvl="0" w:tplc="5350A86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C4EAD"/>
    <w:multiLevelType w:val="hybridMultilevel"/>
    <w:tmpl w:val="DD68899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970B03"/>
    <w:multiLevelType w:val="hybridMultilevel"/>
    <w:tmpl w:val="923EDE08"/>
    <w:lvl w:ilvl="0" w:tplc="5350A86E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F00ED"/>
    <w:multiLevelType w:val="hybridMultilevel"/>
    <w:tmpl w:val="3BFCAF9E"/>
    <w:lvl w:ilvl="0" w:tplc="9048C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961C3"/>
    <w:multiLevelType w:val="hybridMultilevel"/>
    <w:tmpl w:val="1690DB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007F"/>
    <w:multiLevelType w:val="hybridMultilevel"/>
    <w:tmpl w:val="5824F488"/>
    <w:lvl w:ilvl="0" w:tplc="5350A86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C145AE"/>
    <w:multiLevelType w:val="hybridMultilevel"/>
    <w:tmpl w:val="E4F2B17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BB462F"/>
    <w:multiLevelType w:val="hybridMultilevel"/>
    <w:tmpl w:val="C46AA680"/>
    <w:lvl w:ilvl="0" w:tplc="5350A86E">
      <w:start w:val="1"/>
      <w:numFmt w:val="bullet"/>
      <w:lvlText w:val="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481CE0"/>
    <w:multiLevelType w:val="hybridMultilevel"/>
    <w:tmpl w:val="66FEAA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2A24AF"/>
    <w:multiLevelType w:val="hybridMultilevel"/>
    <w:tmpl w:val="F5C65A2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6B3415"/>
    <w:multiLevelType w:val="hybridMultilevel"/>
    <w:tmpl w:val="FFFAD2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417D2"/>
    <w:multiLevelType w:val="hybridMultilevel"/>
    <w:tmpl w:val="88AA48A4"/>
    <w:lvl w:ilvl="0" w:tplc="F8428EE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9D1656"/>
    <w:multiLevelType w:val="hybridMultilevel"/>
    <w:tmpl w:val="0A9EC02C"/>
    <w:lvl w:ilvl="0" w:tplc="5350A86E">
      <w:start w:val="1"/>
      <w:numFmt w:val="bullet"/>
      <w:lvlText w:val="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7C21DC"/>
    <w:multiLevelType w:val="hybridMultilevel"/>
    <w:tmpl w:val="6C345E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0576"/>
    <w:multiLevelType w:val="hybridMultilevel"/>
    <w:tmpl w:val="2E5AC32A"/>
    <w:lvl w:ilvl="0" w:tplc="548CE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93B43"/>
    <w:multiLevelType w:val="hybridMultilevel"/>
    <w:tmpl w:val="60109F60"/>
    <w:lvl w:ilvl="0" w:tplc="5350A86E">
      <w:start w:val="1"/>
      <w:numFmt w:val="bullet"/>
      <w:lvlText w:val="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E120542"/>
    <w:multiLevelType w:val="hybridMultilevel"/>
    <w:tmpl w:val="CC9AE4E8"/>
    <w:lvl w:ilvl="0" w:tplc="5350A86E">
      <w:start w:val="1"/>
      <w:numFmt w:val="bullet"/>
      <w:lvlText w:val="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02F0F74"/>
    <w:multiLevelType w:val="hybridMultilevel"/>
    <w:tmpl w:val="2968EB6C"/>
    <w:lvl w:ilvl="0" w:tplc="5350A86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FA68B9"/>
    <w:multiLevelType w:val="hybridMultilevel"/>
    <w:tmpl w:val="B608FB98"/>
    <w:lvl w:ilvl="0" w:tplc="CC5A1E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9F4FD0"/>
    <w:multiLevelType w:val="hybridMultilevel"/>
    <w:tmpl w:val="68F4B3B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FD59B7"/>
    <w:multiLevelType w:val="hybridMultilevel"/>
    <w:tmpl w:val="8A4CF2B8"/>
    <w:lvl w:ilvl="0" w:tplc="5350A86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E470BC"/>
    <w:multiLevelType w:val="hybridMultilevel"/>
    <w:tmpl w:val="7070F39A"/>
    <w:lvl w:ilvl="0" w:tplc="5350A8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3C32"/>
    <w:multiLevelType w:val="hybridMultilevel"/>
    <w:tmpl w:val="284C6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0"/>
  </w:num>
  <w:num w:numId="5">
    <w:abstractNumId w:val="12"/>
  </w:num>
  <w:num w:numId="6">
    <w:abstractNumId w:val="24"/>
  </w:num>
  <w:num w:numId="7">
    <w:abstractNumId w:val="20"/>
  </w:num>
  <w:num w:numId="8">
    <w:abstractNumId w:val="2"/>
  </w:num>
  <w:num w:numId="9">
    <w:abstractNumId w:val="17"/>
  </w:num>
  <w:num w:numId="10">
    <w:abstractNumId w:val="22"/>
  </w:num>
  <w:num w:numId="11">
    <w:abstractNumId w:val="23"/>
  </w:num>
  <w:num w:numId="12">
    <w:abstractNumId w:val="1"/>
  </w:num>
  <w:num w:numId="13">
    <w:abstractNumId w:val="28"/>
  </w:num>
  <w:num w:numId="14">
    <w:abstractNumId w:val="21"/>
  </w:num>
  <w:num w:numId="15">
    <w:abstractNumId w:val="15"/>
  </w:num>
  <w:num w:numId="16">
    <w:abstractNumId w:val="19"/>
  </w:num>
  <w:num w:numId="17">
    <w:abstractNumId w:val="1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6"/>
  </w:num>
  <w:num w:numId="23">
    <w:abstractNumId w:val="13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3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9"/>
    <w:rsid w:val="0009463E"/>
    <w:rsid w:val="001F5C60"/>
    <w:rsid w:val="00221212"/>
    <w:rsid w:val="0026702B"/>
    <w:rsid w:val="00293217"/>
    <w:rsid w:val="002D30F1"/>
    <w:rsid w:val="003505FB"/>
    <w:rsid w:val="00417E1D"/>
    <w:rsid w:val="004324EC"/>
    <w:rsid w:val="004B7587"/>
    <w:rsid w:val="00527364"/>
    <w:rsid w:val="005A6111"/>
    <w:rsid w:val="005C21C8"/>
    <w:rsid w:val="00601C0F"/>
    <w:rsid w:val="00656C17"/>
    <w:rsid w:val="006B12A2"/>
    <w:rsid w:val="006C445F"/>
    <w:rsid w:val="006D0C4D"/>
    <w:rsid w:val="006D488A"/>
    <w:rsid w:val="0076348C"/>
    <w:rsid w:val="007C76B0"/>
    <w:rsid w:val="008971BD"/>
    <w:rsid w:val="009018E3"/>
    <w:rsid w:val="00961DCA"/>
    <w:rsid w:val="0097069D"/>
    <w:rsid w:val="00972AA9"/>
    <w:rsid w:val="009B1751"/>
    <w:rsid w:val="009C249D"/>
    <w:rsid w:val="00A27A19"/>
    <w:rsid w:val="00A76D10"/>
    <w:rsid w:val="00AB19E8"/>
    <w:rsid w:val="00B05A51"/>
    <w:rsid w:val="00B10C10"/>
    <w:rsid w:val="00BB5B52"/>
    <w:rsid w:val="00C33D2F"/>
    <w:rsid w:val="00C40C2C"/>
    <w:rsid w:val="00C5695F"/>
    <w:rsid w:val="00C61FD7"/>
    <w:rsid w:val="00CD55A5"/>
    <w:rsid w:val="00D24878"/>
    <w:rsid w:val="00D80D4E"/>
    <w:rsid w:val="00D9379C"/>
    <w:rsid w:val="00DA02FB"/>
    <w:rsid w:val="00DD2963"/>
    <w:rsid w:val="00DD359A"/>
    <w:rsid w:val="00E67C68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5830"/>
  <w15:chartTrackingRefBased/>
  <w15:docId w15:val="{11795D49-0D8E-40AF-8849-655A5B2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A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A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2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212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273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364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3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364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52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7E2B5.9071BD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TANCOGNE Chloé</dc:creator>
  <cp:keywords/>
  <dc:description/>
  <cp:lastModifiedBy>Laure PASQUIER-MIGNOT</cp:lastModifiedBy>
  <cp:revision>9</cp:revision>
  <cp:lastPrinted>2022-01-04T17:52:00Z</cp:lastPrinted>
  <dcterms:created xsi:type="dcterms:W3CDTF">2022-03-06T14:47:00Z</dcterms:created>
  <dcterms:modified xsi:type="dcterms:W3CDTF">2022-04-03T14:30:00Z</dcterms:modified>
</cp:coreProperties>
</file>